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adjustRightInd w:val="0"/>
        <w:snapToGrid w:val="0"/>
        <w:spacing w:before="0" w:beforeAutospacing="0" w:after="0" w:afterAutospacing="0" w:line="360" w:lineRule="auto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附件</w:t>
      </w:r>
    </w:p>
    <w:p>
      <w:pPr>
        <w:pStyle w:val="4"/>
        <w:shd w:val="clear" w:color="auto" w:fill="FFFFFF"/>
        <w:adjustRightInd w:val="0"/>
        <w:snapToGrid w:val="0"/>
        <w:spacing w:before="0" w:beforeAutospacing="0" w:after="0" w:afterAutospacing="0" w:line="360" w:lineRule="auto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参加2020-A-05国家计量比对项目回执表</w:t>
      </w:r>
    </w:p>
    <w:tbl>
      <w:tblPr>
        <w:tblStyle w:val="5"/>
        <w:tblW w:w="91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4"/>
        <w:gridCol w:w="5579"/>
        <w:gridCol w:w="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" w:type="dxa"/>
          <w:trHeight w:val="851" w:hRule="atLeast"/>
          <w:jc w:val="center"/>
        </w:trPr>
        <w:tc>
          <w:tcPr>
            <w:tcW w:w="3544" w:type="dxa"/>
            <w:vAlign w:val="center"/>
          </w:tcPr>
          <w:p>
            <w:pPr>
              <w:pStyle w:val="4"/>
              <w:shd w:val="clear" w:color="auto" w:fill="FFFFFF"/>
              <w:adjustRightInd w:val="0"/>
              <w:snapToGrid w:val="0"/>
              <w:spacing w:before="0" w:beforeAutospacing="0" w:after="0" w:afterAutospacing="0" w:line="240" w:lineRule="auto"/>
              <w:jc w:val="both"/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机构名称（盖公章）</w:t>
            </w:r>
          </w:p>
        </w:tc>
        <w:tc>
          <w:tcPr>
            <w:tcW w:w="5579" w:type="dxa"/>
            <w:vAlign w:val="center"/>
          </w:tcPr>
          <w:p>
            <w:pPr>
              <w:pStyle w:val="4"/>
              <w:shd w:val="clear" w:color="auto" w:fill="FFFFFF"/>
              <w:adjustRightInd w:val="0"/>
              <w:snapToGrid w:val="0"/>
              <w:spacing w:before="0" w:beforeAutospacing="0" w:after="0" w:afterAutospacing="0" w:line="240" w:lineRule="auto"/>
              <w:jc w:val="both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" w:type="dxa"/>
          <w:trHeight w:val="851" w:hRule="atLeast"/>
          <w:jc w:val="center"/>
        </w:trPr>
        <w:tc>
          <w:tcPr>
            <w:tcW w:w="3544" w:type="dxa"/>
            <w:vAlign w:val="center"/>
          </w:tcPr>
          <w:p>
            <w:pPr>
              <w:pStyle w:val="4"/>
              <w:shd w:val="clear" w:color="auto" w:fill="FFFFFF"/>
              <w:adjustRightInd w:val="0"/>
              <w:snapToGrid w:val="0"/>
              <w:spacing w:before="0" w:beforeAutospacing="0" w:after="0" w:afterAutospacing="0" w:line="240" w:lineRule="auto"/>
              <w:jc w:val="both"/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机构性质</w:t>
            </w:r>
          </w:p>
        </w:tc>
        <w:tc>
          <w:tcPr>
            <w:tcW w:w="5579" w:type="dxa"/>
            <w:vAlign w:val="center"/>
          </w:tcPr>
          <w:p>
            <w:pPr>
              <w:pStyle w:val="4"/>
              <w:shd w:val="clear" w:color="auto" w:fill="FFFFFF"/>
              <w:adjustRightInd w:val="0"/>
              <w:snapToGrid w:val="0"/>
              <w:spacing w:before="0" w:beforeAutospacing="0" w:after="0" w:afterAutospacing="0" w:line="240" w:lineRule="auto"/>
              <w:jc w:val="both"/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Wingdings 2" w:eastAsia="仿宋_GB2312" w:cs="Times New Roman"/>
                <w:sz w:val="28"/>
                <w:szCs w:val="28"/>
              </w:rPr>
              <w:sym w:font="Wingdings 2" w:char="F0A3"/>
            </w: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大区级</w:t>
            </w:r>
            <w:r>
              <w:rPr>
                <w:rFonts w:ascii="仿宋_GB2312" w:hAnsi="仿宋" w:eastAsia="仿宋_GB2312" w:cs="Times New Roman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Wingdings 2" w:eastAsia="仿宋_GB2312" w:cs="Times New Roman"/>
                <w:sz w:val="28"/>
                <w:szCs w:val="28"/>
              </w:rPr>
              <w:sym w:font="Wingdings 2" w:char="F0A3"/>
            </w: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省级</w:t>
            </w:r>
            <w:r>
              <w:rPr>
                <w:rFonts w:ascii="仿宋_GB2312" w:hAnsi="仿宋" w:eastAsia="仿宋_GB2312" w:cs="Times New Roman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Wingdings 2" w:eastAsia="仿宋_GB2312" w:cs="Times New Roman"/>
                <w:sz w:val="28"/>
                <w:szCs w:val="28"/>
              </w:rPr>
              <w:sym w:font="Wingdings 2" w:char="F0A3"/>
            </w: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" w:type="dxa"/>
          <w:trHeight w:val="920" w:hRule="atLeast"/>
          <w:jc w:val="center"/>
        </w:trPr>
        <w:tc>
          <w:tcPr>
            <w:tcW w:w="3544" w:type="dxa"/>
            <w:vAlign w:val="center"/>
          </w:tcPr>
          <w:p>
            <w:pPr>
              <w:pStyle w:val="4"/>
              <w:shd w:val="clear" w:color="auto" w:fill="FFFFFF"/>
              <w:adjustRightInd w:val="0"/>
              <w:snapToGrid w:val="0"/>
              <w:spacing w:before="0" w:beforeAutospacing="0" w:after="0" w:afterAutospacing="0" w:line="240" w:lineRule="auto"/>
              <w:jc w:val="both"/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计划参加比对的标准装置名称、编号</w:t>
            </w:r>
          </w:p>
        </w:tc>
        <w:tc>
          <w:tcPr>
            <w:tcW w:w="5579" w:type="dxa"/>
            <w:vAlign w:val="center"/>
          </w:tcPr>
          <w:p>
            <w:pPr>
              <w:pStyle w:val="4"/>
              <w:shd w:val="clear" w:color="auto" w:fill="FFFFFF"/>
              <w:adjustRightInd w:val="0"/>
              <w:snapToGrid w:val="0"/>
              <w:spacing w:before="0" w:beforeAutospacing="0" w:after="0" w:afterAutospacing="0" w:line="240" w:lineRule="auto"/>
              <w:jc w:val="both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" w:type="dxa"/>
          <w:trHeight w:val="750" w:hRule="atLeast"/>
          <w:jc w:val="center"/>
        </w:trPr>
        <w:tc>
          <w:tcPr>
            <w:tcW w:w="3544" w:type="dxa"/>
            <w:vAlign w:val="center"/>
          </w:tcPr>
          <w:p>
            <w:pPr>
              <w:pStyle w:val="4"/>
              <w:shd w:val="clear" w:color="auto" w:fill="FFFFFF"/>
              <w:adjustRightInd w:val="0"/>
              <w:snapToGrid w:val="0"/>
              <w:spacing w:before="0" w:beforeAutospacing="0" w:after="0" w:afterAutospacing="0" w:line="240" w:lineRule="auto"/>
              <w:jc w:val="both"/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标准类别</w:t>
            </w:r>
          </w:p>
        </w:tc>
        <w:tc>
          <w:tcPr>
            <w:tcW w:w="5579" w:type="dxa"/>
            <w:vAlign w:val="center"/>
          </w:tcPr>
          <w:p>
            <w:pPr>
              <w:pStyle w:val="4"/>
              <w:shd w:val="clear" w:color="auto" w:fill="FFFFFF"/>
              <w:adjustRightInd w:val="0"/>
              <w:snapToGrid w:val="0"/>
              <w:spacing w:before="0" w:beforeAutospacing="0" w:after="0" w:afterAutospacing="0" w:line="240" w:lineRule="auto"/>
              <w:jc w:val="both"/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Wingdings 2" w:eastAsia="仿宋_GB2312" w:cs="Times New Roman"/>
                <w:sz w:val="28"/>
                <w:szCs w:val="28"/>
              </w:rPr>
              <w:sym w:font="Wingdings 2" w:char="F0A3"/>
            </w: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副基准</w:t>
            </w:r>
            <w:r>
              <w:rPr>
                <w:rFonts w:ascii="仿宋_GB2312" w:hAnsi="仿宋" w:eastAsia="仿宋_GB2312" w:cs="Times New Roman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Wingdings 2" w:eastAsia="仿宋_GB2312" w:cs="Times New Roman"/>
                <w:sz w:val="28"/>
                <w:szCs w:val="28"/>
              </w:rPr>
              <w:sym w:font="Wingdings 2" w:char="F0A3"/>
            </w: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省级标准</w:t>
            </w:r>
            <w:r>
              <w:rPr>
                <w:rFonts w:ascii="仿宋_GB2312" w:hAnsi="仿宋" w:eastAsia="仿宋_GB2312" w:cs="Times New Roman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Wingdings 2" w:eastAsia="仿宋_GB2312" w:cs="Times New Roman"/>
                <w:sz w:val="28"/>
                <w:szCs w:val="28"/>
              </w:rPr>
              <w:sym w:font="Wingdings 2" w:char="F0A3"/>
            </w: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其他标准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" w:type="dxa"/>
          <w:trHeight w:val="545" w:hRule="atLeast"/>
          <w:jc w:val="center"/>
        </w:trPr>
        <w:tc>
          <w:tcPr>
            <w:tcW w:w="3544" w:type="dxa"/>
            <w:vAlign w:val="center"/>
          </w:tcPr>
          <w:p>
            <w:pPr>
              <w:pStyle w:val="4"/>
              <w:shd w:val="clear" w:color="auto" w:fill="FFFFFF"/>
              <w:adjustRightInd w:val="0"/>
              <w:snapToGrid w:val="0"/>
              <w:spacing w:before="0" w:beforeAutospacing="0" w:after="0" w:afterAutospacing="0" w:line="240" w:lineRule="auto"/>
              <w:jc w:val="both"/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标准装置量程范围</w:t>
            </w:r>
          </w:p>
        </w:tc>
        <w:tc>
          <w:tcPr>
            <w:tcW w:w="5579" w:type="dxa"/>
            <w:vAlign w:val="center"/>
          </w:tcPr>
          <w:p>
            <w:pPr>
              <w:pStyle w:val="4"/>
              <w:shd w:val="clear" w:color="auto" w:fill="FFFFFF"/>
              <w:adjustRightInd w:val="0"/>
              <w:snapToGrid w:val="0"/>
              <w:spacing w:before="0" w:beforeAutospacing="0" w:after="0" w:afterAutospacing="0" w:line="240" w:lineRule="auto"/>
              <w:jc w:val="both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" w:type="dxa"/>
          <w:trHeight w:val="544" w:hRule="atLeast"/>
          <w:jc w:val="center"/>
        </w:trPr>
        <w:tc>
          <w:tcPr>
            <w:tcW w:w="3544" w:type="dxa"/>
            <w:vAlign w:val="center"/>
          </w:tcPr>
          <w:p>
            <w:pPr>
              <w:pStyle w:val="4"/>
              <w:shd w:val="clear" w:color="auto" w:fill="FFFFFF"/>
              <w:adjustRightInd w:val="0"/>
              <w:snapToGrid w:val="0"/>
              <w:spacing w:before="0" w:beforeAutospacing="0" w:after="0" w:afterAutospacing="0" w:line="240" w:lineRule="auto"/>
              <w:jc w:val="both"/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量程范围是否满足要求</w:t>
            </w:r>
            <w:r>
              <w:rPr>
                <w:rFonts w:hint="eastAsia" w:ascii="仿宋_GB2312" w:hAnsi="仿宋" w:eastAsia="仿宋_GB2312" w:cs="Times New Roman"/>
                <w:sz w:val="28"/>
                <w:szCs w:val="28"/>
                <w:vertAlign w:val="superscript"/>
              </w:rPr>
              <w:t>注</w:t>
            </w:r>
            <w:r>
              <w:rPr>
                <w:rFonts w:ascii="仿宋_GB2312" w:hAnsi="仿宋" w:eastAsia="仿宋_GB2312" w:cs="Times New Roman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5579" w:type="dxa"/>
            <w:vAlign w:val="center"/>
          </w:tcPr>
          <w:p>
            <w:pPr>
              <w:pStyle w:val="4"/>
              <w:shd w:val="clear" w:color="auto" w:fill="FFFFFF"/>
              <w:adjustRightInd w:val="0"/>
              <w:snapToGrid w:val="0"/>
              <w:spacing w:before="0" w:beforeAutospacing="0" w:after="0" w:afterAutospacing="0" w:line="240" w:lineRule="auto"/>
              <w:jc w:val="both"/>
              <w:rPr>
                <w:rFonts w:hint="eastAsia" w:ascii="仿宋_GB2312" w:hAnsi="Wingdings 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Wingdings 2" w:eastAsia="仿宋_GB2312" w:cs="Times New Roman"/>
                <w:sz w:val="28"/>
                <w:szCs w:val="28"/>
              </w:rPr>
              <w:sym w:font="Wingdings 2" w:char="F0A3"/>
            </w: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满足</w:t>
            </w:r>
            <w:r>
              <w:rPr>
                <w:rFonts w:ascii="仿宋_GB2312" w:hAnsi="仿宋" w:eastAsia="仿宋_GB2312" w:cs="Times New Roman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Wingdings 2" w:eastAsia="仿宋_GB2312" w:cs="Times New Roman"/>
                <w:sz w:val="28"/>
                <w:szCs w:val="28"/>
              </w:rPr>
              <w:sym w:font="Wingdings 2" w:char="F0A3"/>
            </w: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不满足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3544" w:type="dxa"/>
            <w:vAlign w:val="center"/>
          </w:tcPr>
          <w:p>
            <w:pPr>
              <w:pStyle w:val="4"/>
              <w:shd w:val="clear" w:color="auto" w:fill="FFFFFF"/>
              <w:adjustRightInd w:val="0"/>
              <w:snapToGrid w:val="0"/>
              <w:spacing w:before="0" w:beforeAutospacing="0" w:after="0" w:afterAutospacing="0" w:line="240" w:lineRule="auto"/>
              <w:jc w:val="both"/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标准装置的量值复现形式</w:t>
            </w:r>
            <w:r>
              <w:rPr>
                <w:rFonts w:hint="eastAsia" w:ascii="仿宋_GB2312" w:hAnsi="仿宋" w:eastAsia="仿宋_GB2312" w:cs="Times New Roman"/>
                <w:sz w:val="28"/>
                <w:szCs w:val="28"/>
                <w:vertAlign w:val="superscript"/>
              </w:rPr>
              <w:t>注</w:t>
            </w:r>
            <w:r>
              <w:rPr>
                <w:rFonts w:ascii="仿宋_GB2312" w:hAnsi="仿宋" w:eastAsia="仿宋_GB2312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5627" w:type="dxa"/>
            <w:gridSpan w:val="2"/>
            <w:vAlign w:val="center"/>
          </w:tcPr>
          <w:p>
            <w:pPr>
              <w:pStyle w:val="4"/>
              <w:shd w:val="clear" w:color="auto" w:fill="FFFFFF"/>
              <w:adjustRightInd w:val="0"/>
              <w:snapToGrid w:val="0"/>
              <w:spacing w:before="0" w:beforeAutospacing="0" w:after="0" w:afterAutospacing="0" w:line="240" w:lineRule="auto"/>
              <w:jc w:val="both"/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Wingdings 2" w:eastAsia="仿宋_GB2312" w:cs="Times New Roman"/>
                <w:sz w:val="28"/>
                <w:szCs w:val="28"/>
              </w:rPr>
              <w:sym w:font="Wingdings 2" w:char="F0A3"/>
            </w: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静重式</w:t>
            </w:r>
            <w:r>
              <w:rPr>
                <w:rFonts w:ascii="仿宋_GB2312" w:hAnsi="仿宋" w:eastAsia="仿宋_GB2312" w:cs="Times New Roman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Wingdings 2" w:eastAsia="仿宋_GB2312" w:cs="Times New Roman"/>
                <w:sz w:val="28"/>
                <w:szCs w:val="28"/>
              </w:rPr>
              <w:sym w:font="Wingdings 2" w:char="F0A3"/>
            </w: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杠杆式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" w:type="dxa"/>
          <w:trHeight w:val="964" w:hRule="atLeast"/>
          <w:jc w:val="center"/>
        </w:trPr>
        <w:tc>
          <w:tcPr>
            <w:tcW w:w="3544" w:type="dxa"/>
            <w:vAlign w:val="center"/>
          </w:tcPr>
          <w:p>
            <w:pPr>
              <w:pStyle w:val="4"/>
              <w:shd w:val="clear" w:color="auto" w:fill="FFFFFF"/>
              <w:adjustRightInd w:val="0"/>
              <w:snapToGrid w:val="0"/>
              <w:spacing w:before="0" w:beforeAutospacing="0" w:after="0" w:afterAutospacing="0" w:line="240" w:lineRule="auto"/>
              <w:jc w:val="both"/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标准装置的量值不确定度水平</w:t>
            </w:r>
            <w:r>
              <w:rPr>
                <w:rFonts w:hint="eastAsia" w:ascii="仿宋_GB2312" w:hAnsi="仿宋" w:eastAsia="仿宋_GB2312" w:cs="Times New Roman"/>
                <w:sz w:val="28"/>
                <w:szCs w:val="28"/>
                <w:vertAlign w:val="superscript"/>
              </w:rPr>
              <w:t>注</w:t>
            </w:r>
            <w:r>
              <w:rPr>
                <w:rFonts w:ascii="仿宋_GB2312" w:hAnsi="仿宋" w:eastAsia="仿宋_GB2312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5579" w:type="dxa"/>
            <w:vAlign w:val="center"/>
          </w:tcPr>
          <w:p>
            <w:pPr>
              <w:pStyle w:val="4"/>
              <w:shd w:val="clear" w:color="auto" w:fill="FFFFFF"/>
              <w:adjustRightInd w:val="0"/>
              <w:snapToGrid w:val="0"/>
              <w:spacing w:before="0" w:beforeAutospacing="0" w:after="0" w:afterAutospacing="0" w:line="240" w:lineRule="auto"/>
              <w:jc w:val="both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" w:type="dxa"/>
          <w:trHeight w:val="851" w:hRule="atLeast"/>
          <w:jc w:val="center"/>
        </w:trPr>
        <w:tc>
          <w:tcPr>
            <w:tcW w:w="3544" w:type="dxa"/>
            <w:vAlign w:val="center"/>
          </w:tcPr>
          <w:p>
            <w:pPr>
              <w:pStyle w:val="4"/>
              <w:shd w:val="clear" w:color="auto" w:fill="FFFFFF"/>
              <w:adjustRightInd w:val="0"/>
              <w:snapToGrid w:val="0"/>
              <w:spacing w:before="0" w:beforeAutospacing="0" w:after="0" w:afterAutospacing="0" w:line="240" w:lineRule="auto"/>
              <w:jc w:val="both"/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每级负荷加卸载时间（</w:t>
            </w:r>
            <w:r>
              <w:rPr>
                <w:rFonts w:ascii="仿宋_GB2312" w:hAnsi="仿宋" w:eastAsia="仿宋_GB2312" w:cs="Times New Roman"/>
                <w:sz w:val="28"/>
                <w:szCs w:val="28"/>
              </w:rPr>
              <w:t>s</w:t>
            </w: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）</w:t>
            </w:r>
          </w:p>
        </w:tc>
        <w:tc>
          <w:tcPr>
            <w:tcW w:w="5579" w:type="dxa"/>
            <w:vAlign w:val="center"/>
          </w:tcPr>
          <w:p>
            <w:pPr>
              <w:pStyle w:val="4"/>
              <w:shd w:val="clear" w:color="auto" w:fill="FFFFFF"/>
              <w:adjustRightInd w:val="0"/>
              <w:snapToGrid w:val="0"/>
              <w:spacing w:before="0" w:beforeAutospacing="0" w:after="0" w:afterAutospacing="0" w:line="240" w:lineRule="auto"/>
              <w:jc w:val="both"/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加载：</w:t>
            </w:r>
            <w:r>
              <w:rPr>
                <w:rFonts w:ascii="仿宋_GB2312" w:hAnsi="仿宋" w:eastAsia="仿宋_GB2312" w:cs="Times New Roman"/>
                <w:sz w:val="28"/>
                <w:szCs w:val="28"/>
              </w:rPr>
              <w:t xml:space="preserve">           </w:t>
            </w: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卸载：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" w:type="dxa"/>
          <w:trHeight w:val="836" w:hRule="atLeast"/>
          <w:jc w:val="center"/>
        </w:trPr>
        <w:tc>
          <w:tcPr>
            <w:tcW w:w="3544" w:type="dxa"/>
            <w:vAlign w:val="center"/>
          </w:tcPr>
          <w:p>
            <w:pPr>
              <w:pStyle w:val="4"/>
              <w:shd w:val="clear" w:color="auto" w:fill="FFFFFF"/>
              <w:adjustRightInd w:val="0"/>
              <w:snapToGrid w:val="0"/>
              <w:spacing w:before="0" w:beforeAutospacing="0" w:after="0" w:afterAutospacing="0" w:line="240" w:lineRule="auto"/>
              <w:jc w:val="both"/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实验室环境条件是否满足要求</w:t>
            </w:r>
            <w:r>
              <w:rPr>
                <w:rFonts w:hint="eastAsia" w:ascii="仿宋_GB2312" w:hAnsi="仿宋" w:eastAsia="仿宋_GB2312" w:cs="Times New Roman"/>
                <w:sz w:val="28"/>
                <w:szCs w:val="28"/>
                <w:vertAlign w:val="superscript"/>
              </w:rPr>
              <w:t>注</w:t>
            </w:r>
            <w:r>
              <w:rPr>
                <w:rFonts w:ascii="仿宋_GB2312" w:hAnsi="仿宋" w:eastAsia="仿宋_GB2312" w:cs="Times New Roman"/>
                <w:sz w:val="28"/>
                <w:szCs w:val="28"/>
                <w:vertAlign w:val="superscript"/>
              </w:rPr>
              <w:t>4</w:t>
            </w:r>
          </w:p>
        </w:tc>
        <w:tc>
          <w:tcPr>
            <w:tcW w:w="5579" w:type="dxa"/>
            <w:vAlign w:val="center"/>
          </w:tcPr>
          <w:p>
            <w:pPr>
              <w:pStyle w:val="4"/>
              <w:shd w:val="clear" w:color="auto" w:fill="FFFFFF"/>
              <w:adjustRightInd w:val="0"/>
              <w:snapToGrid w:val="0"/>
              <w:spacing w:before="0" w:beforeAutospacing="0" w:after="0" w:afterAutospacing="0" w:line="240" w:lineRule="auto"/>
              <w:jc w:val="both"/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Wingdings 2" w:eastAsia="仿宋_GB2312" w:cs="Times New Roman"/>
                <w:sz w:val="28"/>
                <w:szCs w:val="28"/>
              </w:rPr>
              <w:sym w:font="Wingdings 2" w:char="F0A3"/>
            </w: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满足</w:t>
            </w:r>
            <w:r>
              <w:rPr>
                <w:rFonts w:ascii="仿宋_GB2312" w:hAnsi="仿宋" w:eastAsia="仿宋_GB2312" w:cs="Times New Roman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Wingdings 2" w:eastAsia="仿宋_GB2312" w:cs="Times New Roman"/>
                <w:sz w:val="28"/>
                <w:szCs w:val="28"/>
              </w:rPr>
              <w:sym w:font="Wingdings 2" w:char="F0A3"/>
            </w: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不满足</w:t>
            </w:r>
            <w:r>
              <w:rPr>
                <w:rFonts w:ascii="仿宋_GB2312" w:hAnsi="仿宋" w:eastAsia="仿宋_GB2312" w:cs="Times New Roman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" w:type="dxa"/>
          <w:trHeight w:val="629" w:hRule="atLeast"/>
          <w:jc w:val="center"/>
        </w:trPr>
        <w:tc>
          <w:tcPr>
            <w:tcW w:w="3544" w:type="dxa"/>
            <w:vAlign w:val="center"/>
          </w:tcPr>
          <w:p>
            <w:pPr>
              <w:pStyle w:val="4"/>
              <w:shd w:val="clear" w:color="auto" w:fill="FFFFFF"/>
              <w:adjustRightInd w:val="0"/>
              <w:snapToGrid w:val="0"/>
              <w:spacing w:before="0" w:beforeAutospacing="0" w:after="0" w:afterAutospacing="0" w:line="240" w:lineRule="auto"/>
              <w:jc w:val="both"/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对本次比对的建议</w:t>
            </w:r>
          </w:p>
        </w:tc>
        <w:tc>
          <w:tcPr>
            <w:tcW w:w="5579" w:type="dxa"/>
            <w:vAlign w:val="center"/>
          </w:tcPr>
          <w:p>
            <w:pPr>
              <w:pStyle w:val="4"/>
              <w:shd w:val="clear" w:color="auto" w:fill="FFFFFF"/>
              <w:adjustRightInd w:val="0"/>
              <w:snapToGrid w:val="0"/>
              <w:spacing w:before="0" w:beforeAutospacing="0" w:after="0" w:afterAutospacing="0" w:line="240" w:lineRule="auto"/>
              <w:jc w:val="both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" w:type="dxa"/>
          <w:trHeight w:val="541" w:hRule="atLeast"/>
          <w:jc w:val="center"/>
        </w:trPr>
        <w:tc>
          <w:tcPr>
            <w:tcW w:w="3544" w:type="dxa"/>
            <w:vAlign w:val="center"/>
          </w:tcPr>
          <w:p>
            <w:pPr>
              <w:pStyle w:val="4"/>
              <w:shd w:val="clear" w:color="auto" w:fill="FFFFFF"/>
              <w:adjustRightInd w:val="0"/>
              <w:snapToGrid w:val="0"/>
              <w:spacing w:before="0" w:beforeAutospacing="0" w:after="0" w:afterAutospacing="0" w:line="240" w:lineRule="auto"/>
              <w:jc w:val="both"/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联系人及联系电话</w:t>
            </w:r>
          </w:p>
        </w:tc>
        <w:tc>
          <w:tcPr>
            <w:tcW w:w="5579" w:type="dxa"/>
            <w:vAlign w:val="center"/>
          </w:tcPr>
          <w:p>
            <w:pPr>
              <w:pStyle w:val="4"/>
              <w:shd w:val="clear" w:color="auto" w:fill="FFFFFF"/>
              <w:adjustRightInd w:val="0"/>
              <w:snapToGrid w:val="0"/>
              <w:spacing w:before="0" w:beforeAutospacing="0" w:after="0" w:afterAutospacing="0" w:line="240" w:lineRule="auto"/>
              <w:jc w:val="both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</w:tr>
    </w:tbl>
    <w:p>
      <w:pPr>
        <w:pStyle w:val="4"/>
        <w:shd w:val="clear" w:color="auto" w:fill="FFFFFF"/>
        <w:adjustRightInd w:val="0"/>
        <w:snapToGrid w:val="0"/>
        <w:spacing w:beforeLines="100" w:beforeAutospacing="0" w:after="0" w:afterAutospacing="0" w:line="360" w:lineRule="auto"/>
        <w:rPr>
          <w:rFonts w:ascii="仿宋_GB2312" w:hAnsi="仿宋" w:eastAsia="仿宋_GB2312" w:cs="Times New Roman"/>
        </w:rPr>
      </w:pPr>
      <w:r>
        <w:rPr>
          <w:rFonts w:hint="eastAsia" w:ascii="仿宋_GB2312" w:hAnsi="仿宋" w:eastAsia="仿宋_GB2312" w:cs="Times New Roman"/>
        </w:rPr>
        <w:t>注：</w:t>
      </w:r>
      <w:r>
        <w:rPr>
          <w:rFonts w:ascii="仿宋_GB2312" w:hAnsi="仿宋" w:eastAsia="仿宋_GB2312" w:cs="Times New Roman"/>
        </w:rPr>
        <w:t>1.</w:t>
      </w:r>
      <w:r>
        <w:rPr>
          <w:rFonts w:hint="eastAsia" w:ascii="仿宋_GB2312" w:hAnsi="仿宋" w:eastAsia="仿宋_GB2312" w:cs="Times New Roman"/>
        </w:rPr>
        <w:t>本次比对的量程范围为（</w:t>
      </w:r>
      <w:r>
        <w:rPr>
          <w:rFonts w:ascii="仿宋_GB2312" w:hAnsi="仿宋" w:eastAsia="仿宋_GB2312" w:cs="Times New Roman"/>
        </w:rPr>
        <w:t>10-100</w:t>
      </w:r>
      <w:r>
        <w:rPr>
          <w:rFonts w:hint="eastAsia" w:ascii="仿宋_GB2312" w:hAnsi="仿宋" w:eastAsia="仿宋_GB2312" w:cs="Times New Roman"/>
        </w:rPr>
        <w:t>）</w:t>
      </w:r>
      <w:r>
        <w:rPr>
          <w:rFonts w:ascii="仿宋_GB2312" w:hAnsi="仿宋" w:eastAsia="仿宋_GB2312" w:cs="Times New Roman"/>
        </w:rPr>
        <w:t>kN</w:t>
      </w:r>
      <w:r>
        <w:rPr>
          <w:rFonts w:hint="eastAsia" w:ascii="仿宋_GB2312" w:hAnsi="仿宋" w:eastAsia="仿宋_GB2312" w:cs="Times New Roman"/>
        </w:rPr>
        <w:t>，标准装置的最大量程需在此范围内。</w:t>
      </w:r>
    </w:p>
    <w:p>
      <w:pPr>
        <w:pStyle w:val="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360" w:firstLineChars="150"/>
        <w:jc w:val="both"/>
        <w:rPr>
          <w:rFonts w:ascii="仿宋_GB2312" w:hAnsi="仿宋" w:eastAsia="仿宋_GB2312" w:cs="Times New Roman"/>
        </w:rPr>
      </w:pPr>
      <w:r>
        <w:rPr>
          <w:rFonts w:ascii="仿宋_GB2312" w:hAnsi="仿宋" w:eastAsia="仿宋_GB2312" w:cs="Times New Roman"/>
        </w:rPr>
        <w:t>2.</w:t>
      </w:r>
      <w:r>
        <w:rPr>
          <w:rFonts w:hint="eastAsia" w:ascii="仿宋_GB2312" w:hAnsi="仿宋" w:eastAsia="仿宋_GB2312" w:cs="Times New Roman"/>
        </w:rPr>
        <w:t>为确保本次比对结果的一致性，原则上力标准装置的量值复现形式为静重式，大区级计量机构可适当放宽至杠杆式。</w:t>
      </w:r>
      <w:bookmarkStart w:id="0" w:name="_GoBack"/>
      <w:bookmarkEnd w:id="0"/>
    </w:p>
    <w:p>
      <w:pPr>
        <w:pStyle w:val="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360" w:firstLineChars="150"/>
        <w:rPr>
          <w:rFonts w:ascii="仿宋_GB2312" w:hAnsi="仿宋" w:eastAsia="仿宋_GB2312" w:cs="Times New Roman"/>
        </w:rPr>
      </w:pPr>
      <w:r>
        <w:rPr>
          <w:rFonts w:ascii="仿宋_GB2312" w:hAnsi="仿宋" w:eastAsia="仿宋_GB2312" w:cs="Times New Roman"/>
        </w:rPr>
        <w:t>3.</w:t>
      </w:r>
      <w:r>
        <w:rPr>
          <w:rFonts w:hint="eastAsia" w:ascii="仿宋_GB2312" w:hAnsi="仿宋" w:eastAsia="仿宋_GB2312" w:cs="Times New Roman"/>
        </w:rPr>
        <w:t>统一用相对扩展不确定度表示。</w:t>
      </w:r>
    </w:p>
    <w:p>
      <w:pPr>
        <w:pStyle w:val="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360" w:firstLineChars="150"/>
        <w:rPr>
          <w:rFonts w:ascii="仿宋_GB2312" w:hAnsi="仿宋" w:eastAsia="仿宋_GB2312" w:cs="Times New Roman"/>
        </w:rPr>
      </w:pPr>
      <w:r>
        <w:rPr>
          <w:rFonts w:ascii="仿宋_GB2312" w:hAnsi="仿宋" w:eastAsia="仿宋_GB2312" w:cs="Times New Roman"/>
        </w:rPr>
        <w:t xml:space="preserve">4. </w:t>
      </w:r>
      <w:r>
        <w:rPr>
          <w:rFonts w:hint="eastAsia" w:ascii="仿宋_GB2312" w:hAnsi="仿宋" w:eastAsia="仿宋_GB2312" w:cs="Times New Roman"/>
        </w:rPr>
        <w:t>实验室环境条件要求：温度：（</w:t>
      </w:r>
      <w:r>
        <w:rPr>
          <w:rFonts w:ascii="仿宋_GB2312" w:hAnsi="仿宋" w:eastAsia="仿宋_GB2312" w:cs="Times New Roman"/>
        </w:rPr>
        <w:t>20</w:t>
      </w:r>
      <w:r>
        <w:rPr>
          <w:rFonts w:hint="eastAsia" w:ascii="仿宋_GB2312" w:hAnsi="仿宋" w:eastAsia="仿宋_GB2312" w:cs="Times New Roman"/>
        </w:rPr>
        <w:t>±</w:t>
      </w:r>
      <w:r>
        <w:rPr>
          <w:rFonts w:ascii="仿宋_GB2312" w:hAnsi="仿宋" w:eastAsia="仿宋_GB2312" w:cs="Times New Roman"/>
        </w:rPr>
        <w:t>3</w:t>
      </w:r>
      <w:r>
        <w:rPr>
          <w:rFonts w:hint="eastAsia" w:ascii="仿宋_GB2312" w:hAnsi="仿宋" w:eastAsia="仿宋_GB2312" w:cs="Times New Roman"/>
        </w:rPr>
        <w:t>）℃；相对湿度：不大于</w:t>
      </w:r>
      <w:r>
        <w:rPr>
          <w:rFonts w:ascii="仿宋_GB2312" w:hAnsi="仿宋" w:eastAsia="仿宋_GB2312" w:cs="Times New Roman"/>
        </w:rPr>
        <w:t>70%</w:t>
      </w:r>
      <w:r>
        <w:rPr>
          <w:rFonts w:hint="eastAsia" w:ascii="仿宋_GB2312" w:hAnsi="仿宋" w:eastAsia="仿宋_GB2312" w:cs="Times New Roman"/>
        </w:rPr>
        <w:t>；比对过程中（</w:t>
      </w:r>
      <w:r>
        <w:rPr>
          <w:rFonts w:ascii="仿宋_GB2312" w:hAnsi="仿宋" w:eastAsia="仿宋_GB2312" w:cs="Times New Roman"/>
        </w:rPr>
        <w:t>5</w:t>
      </w:r>
      <w:r>
        <w:rPr>
          <w:rFonts w:hint="eastAsia" w:ascii="仿宋_GB2312" w:hAnsi="仿宋" w:eastAsia="仿宋_GB2312" w:cs="Times New Roman"/>
        </w:rPr>
        <w:t>小时内）温度变化不超过</w:t>
      </w:r>
      <w:r>
        <w:rPr>
          <w:rFonts w:ascii="仿宋_GB2312" w:hAnsi="仿宋" w:eastAsia="仿宋_GB2312" w:cs="Times New Roman"/>
        </w:rPr>
        <w:t>1</w:t>
      </w:r>
      <w:r>
        <w:rPr>
          <w:rFonts w:hint="eastAsia" w:ascii="仿宋_GB2312" w:hAnsi="仿宋" w:eastAsia="仿宋_GB2312" w:cs="Times New Roman"/>
        </w:rPr>
        <w:t>℃。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6DB"/>
    <w:rsid w:val="00BF66DB"/>
    <w:rsid w:val="00ED7F5C"/>
    <w:rsid w:val="3E9832FB"/>
    <w:rsid w:val="6E836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65</Words>
  <Characters>376</Characters>
  <Lines>3</Lines>
  <Paragraphs>1</Paragraphs>
  <TotalTime>1</TotalTime>
  <ScaleCrop>false</ScaleCrop>
  <LinksUpToDate>false</LinksUpToDate>
  <CharactersWithSpaces>440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2020-04-29T07:57:00Z</dcterms:created>
  <dc:creator>AutoBVT</dc:creator>
  <cp:lastModifiedBy>Administrator</cp:lastModifiedBy>
  <dcterms:modified xsi:type="dcterms:W3CDTF">2020-04-29T09:16:53Z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